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3C" w:rsidRDefault="00F8571D">
      <w:pPr>
        <w:spacing w:after="0" w:line="259" w:lineRule="auto"/>
        <w:ind w:left="120" w:right="62" w:firstLine="0"/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left:0;text-align:left;margin-left:336.5pt;margin-top:-7.25pt;width:124.65pt;height:43.2pt;z-index:1;visibility:visible" o:allowoverlap="f">
            <v:imagedata r:id="rId5" o:title=""/>
            <w10:wrap type="square"/>
          </v:shape>
        </w:pict>
      </w:r>
      <w:r w:rsidR="003F5C3C">
        <w:rPr>
          <w:b/>
          <w:bCs/>
          <w:sz w:val="39"/>
          <w:szCs w:val="39"/>
        </w:rPr>
        <w:t>Praktické informace</w:t>
      </w:r>
      <w:r w:rsidR="003F5C3C">
        <w:rPr>
          <w:sz w:val="39"/>
          <w:szCs w:val="39"/>
        </w:rPr>
        <w:t xml:space="preserve"> </w:t>
      </w:r>
    </w:p>
    <w:p w:rsidR="003F5C3C" w:rsidRDefault="003F5C3C">
      <w:pPr>
        <w:spacing w:after="0" w:line="259" w:lineRule="auto"/>
        <w:ind w:left="120" w:right="62" w:firstLine="0"/>
        <w:jc w:val="left"/>
      </w:pPr>
      <w:r>
        <w:rPr>
          <w:b/>
          <w:bCs/>
          <w:sz w:val="23"/>
          <w:szCs w:val="23"/>
        </w:rPr>
        <w:t>č. 8, verze 2010/10</w:t>
      </w:r>
      <w:r>
        <w:rPr>
          <w:b/>
          <w:bCs/>
          <w:sz w:val="27"/>
          <w:szCs w:val="27"/>
        </w:rPr>
        <w:t xml:space="preserve"> </w:t>
      </w:r>
    </w:p>
    <w:p w:rsidR="003F5C3C" w:rsidRDefault="003F5C3C">
      <w:pPr>
        <w:spacing w:after="62" w:line="259" w:lineRule="auto"/>
        <w:ind w:left="120" w:firstLine="0"/>
        <w:jc w:val="left"/>
      </w:pPr>
      <w:r>
        <w:rPr>
          <w:b/>
          <w:bCs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C3C" w:rsidRDefault="003F5C3C">
      <w:pPr>
        <w:tabs>
          <w:tab w:val="center" w:pos="7797"/>
        </w:tabs>
        <w:spacing w:after="0" w:line="259" w:lineRule="auto"/>
        <w:ind w:left="0" w:firstLine="0"/>
        <w:jc w:val="left"/>
      </w:pPr>
      <w:r>
        <w:rPr>
          <w:b/>
          <w:bCs/>
          <w:sz w:val="27"/>
          <w:szCs w:val="27"/>
        </w:rPr>
        <w:t>ORAFOL</w:t>
      </w:r>
      <w:r>
        <w:rPr>
          <w:sz w:val="27"/>
          <w:szCs w:val="27"/>
          <w:vertAlign w:val="superscript"/>
        </w:rPr>
        <w:t xml:space="preserve">® </w:t>
      </w:r>
      <w:r>
        <w:rPr>
          <w:b/>
          <w:bCs/>
          <w:sz w:val="27"/>
          <w:szCs w:val="27"/>
        </w:rPr>
        <w:t xml:space="preserve">Fólie k laminování vnitřních stěn </w:t>
      </w:r>
      <w:r>
        <w:rPr>
          <w:rFonts w:ascii="MingLiU_HKSCS" w:eastAsia="MingLiU_HKSCS" w:hAnsi="MingLiU_HKSCS" w:cs="MingLiU_HKSCS"/>
          <w:sz w:val="27"/>
          <w:szCs w:val="27"/>
        </w:rPr>
        <w:t xml:space="preserve">  </w:t>
      </w:r>
      <w:r>
        <w:rPr>
          <w:rFonts w:ascii="MingLiU_HKSCS" w:eastAsia="MingLiU_HKSCS" w:hAnsi="MingLiU_HKSCS" w:cs="MingLiU_HKSCS"/>
          <w:sz w:val="27"/>
          <w:szCs w:val="27"/>
        </w:rPr>
        <w:tab/>
        <w:t xml:space="preserve">    </w:t>
      </w:r>
      <w:r>
        <w:rPr>
          <w:b/>
          <w:bCs/>
          <w:sz w:val="27"/>
          <w:szCs w:val="27"/>
          <w:vertAlign w:val="superscript"/>
        </w:rPr>
        <w:t xml:space="preserve">ORAFOL® </w:t>
      </w:r>
      <w:proofErr w:type="spellStart"/>
      <w:r>
        <w:rPr>
          <w:b/>
          <w:bCs/>
          <w:sz w:val="27"/>
          <w:szCs w:val="27"/>
          <w:vertAlign w:val="superscript"/>
        </w:rPr>
        <w:t>Europe</w:t>
      </w:r>
      <w:proofErr w:type="spellEnd"/>
      <w:r>
        <w:rPr>
          <w:b/>
          <w:bCs/>
          <w:sz w:val="27"/>
          <w:szCs w:val="27"/>
          <w:vertAlign w:val="superscript"/>
        </w:rPr>
        <w:t xml:space="preserve"> </w:t>
      </w:r>
      <w:proofErr w:type="spellStart"/>
      <w:r>
        <w:rPr>
          <w:b/>
          <w:bCs/>
          <w:sz w:val="27"/>
          <w:szCs w:val="27"/>
          <w:vertAlign w:val="superscript"/>
        </w:rPr>
        <w:t>GmbH</w:t>
      </w:r>
      <w:proofErr w:type="spellEnd"/>
      <w:r>
        <w:rPr>
          <w:rFonts w:ascii="MingLiU_HKSCS" w:eastAsia="MingLiU_HKSCS" w:hAnsi="MingLiU_HKSCS" w:cs="MingLiU_HKSCS"/>
          <w:sz w:val="20"/>
          <w:szCs w:val="20"/>
          <w:vertAlign w:val="subscript"/>
        </w:rPr>
        <w:t xml:space="preserve"> </w:t>
      </w:r>
    </w:p>
    <w:p w:rsidR="003F5C3C" w:rsidRDefault="003F5C3C">
      <w:pPr>
        <w:sectPr w:rsidR="003F5C3C">
          <w:pgSz w:w="11899" w:h="16841"/>
          <w:pgMar w:top="1447" w:right="1354" w:bottom="1440" w:left="1260" w:header="708" w:footer="708" w:gutter="0"/>
          <w:cols w:space="708"/>
        </w:sectPr>
      </w:pPr>
    </w:p>
    <w:p w:rsidR="003F5C3C" w:rsidRDefault="003F5C3C">
      <w:pPr>
        <w:spacing w:after="0" w:line="259" w:lineRule="auto"/>
        <w:ind w:left="142" w:firstLine="0"/>
        <w:jc w:val="left"/>
      </w:pPr>
      <w:r>
        <w:rPr>
          <w:color w:val="FF0000"/>
          <w:sz w:val="16"/>
          <w:szCs w:val="16"/>
        </w:rPr>
        <w:t>číslo artiklu: PO-638..., SFO-3268M..., SFO-3628G</w:t>
      </w:r>
      <w:r>
        <w:rPr>
          <w:sz w:val="20"/>
          <w:szCs w:val="20"/>
        </w:rPr>
        <w:t xml:space="preserve">... </w:t>
      </w:r>
    </w:p>
    <w:p w:rsidR="003F5C3C" w:rsidRDefault="00F8571D">
      <w:pPr>
        <w:spacing w:after="124" w:line="259" w:lineRule="auto"/>
        <w:ind w:left="0" w:firstLine="0"/>
        <w:jc w:val="left"/>
      </w:pPr>
      <w:r>
        <w:rPr>
          <w:noProof/>
        </w:rPr>
        <w:pict>
          <v:group id="Group 2817" o:spid="_x0000_s1027" style="position:absolute;margin-left:4.65pt;margin-top:1.9pt;width:460.3pt;height:.6pt;z-index:2;mso-position-horizontal-relative:margin" coordsize="58458,73">
            <v:shape id="Shape 6" o:spid="_x0000_s1028" style="position:absolute;width:58458;height:0" coordsize="5845810,0" path="m,l5845810,e" filled="f" fillcolor="black" strokeweight=".58pt">
              <v:fill opacity="0"/>
              <v:stroke endcap="round"/>
            </v:shape>
            <w10:wrap type="square" anchorx="margin"/>
          </v:group>
        </w:pict>
      </w:r>
      <w:r w:rsidR="003F5C3C">
        <w:rPr>
          <w:rFonts w:ascii="MingLiU_HKSCS" w:eastAsia="MingLiU_HKSCS" w:hAnsi="MingLiU_HKSCS" w:cs="MingLiU_HKSCS"/>
          <w:sz w:val="20"/>
          <w:szCs w:val="20"/>
        </w:rPr>
        <w:t xml:space="preserve"> </w:t>
      </w:r>
    </w:p>
    <w:p w:rsidR="003F5C3C" w:rsidRDefault="003F5C3C">
      <w:pPr>
        <w:pStyle w:val="Nadpis1"/>
        <w:ind w:left="525" w:hanging="420"/>
      </w:pPr>
      <w:r>
        <w:t>Úvodní poznámky</w:t>
      </w:r>
      <w:r>
        <w:rPr>
          <w:rFonts w:ascii="MingLiU_HKSCS" w:eastAsia="MingLiU_HKSCS" w:hAnsi="MingLiU_HKSCS" w:cs="MingLiU_HKSCS"/>
          <w:b w:val="0"/>
          <w:bCs w:val="0"/>
          <w:u w:val="none"/>
        </w:rPr>
        <w:t xml:space="preserve"> </w:t>
      </w:r>
      <w:r>
        <w:rPr>
          <w:rFonts w:ascii="MingLiU_HKSCS" w:eastAsia="MingLiU_HKSCS" w:hAnsi="MingLiU_HKSCS" w:cs="MingLiU_HKSCS"/>
          <w:b w:val="0"/>
          <w:bCs w:val="0"/>
          <w:u w:val="none"/>
        </w:rPr>
        <w:tab/>
      </w:r>
      <w:r>
        <w:rPr>
          <w:rFonts w:ascii="MingLiU_HKSCS" w:eastAsia="MingLiU_HKSCS" w:hAnsi="MingLiU_HKSCS" w:cs="MingLiU_HKSCS"/>
          <w:b w:val="0"/>
          <w:bCs w:val="0"/>
          <w:sz w:val="34"/>
          <w:szCs w:val="34"/>
          <w:u w:val="none"/>
          <w:vertAlign w:val="superscript"/>
        </w:rPr>
        <w:t xml:space="preserve"> </w:t>
      </w:r>
    </w:p>
    <w:p w:rsidR="003F5C3C" w:rsidRDefault="003F5C3C">
      <w:pPr>
        <w:spacing w:after="50" w:line="263" w:lineRule="auto"/>
        <w:ind w:left="120" w:firstLine="4297"/>
        <w:jc w:val="left"/>
      </w:pPr>
      <w:r>
        <w:rPr>
          <w:rFonts w:ascii="MingLiU_HKSCS" w:eastAsia="MingLiU_HKSCS" w:hAnsi="MingLiU_HKSCS" w:cs="MingLiU_HKSCS"/>
        </w:rPr>
        <w:t xml:space="preserve"> </w:t>
      </w:r>
      <w:r>
        <w:t>Následující dodatečné tipy jsou určeny k aplikaci fólií ORAFOL</w:t>
      </w:r>
      <w:r>
        <w:rPr>
          <w:vertAlign w:val="superscript"/>
        </w:rPr>
        <w:t>®</w:t>
      </w:r>
      <w:r>
        <w:t>, které byly navrženy k laminování vnitřních stěn.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spacing w:after="67"/>
        <w:ind w:left="115" w:right="136"/>
      </w:pPr>
      <w:r>
        <w:t>Chcete-li pro vnitřní stěny používat fólie s kresbou, projděte si také praktické informace pro materiály s kresbou.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spacing w:after="70"/>
        <w:ind w:left="115" w:right="136"/>
      </w:pPr>
      <w:r>
        <w:t>Chcete-li používat fólie, které jsou vytištěny inkoustovou tiskárnou, projděte si také praktické informace pro materiály digitálního tisku.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spacing w:after="40"/>
        <w:ind w:left="115" w:right="136"/>
      </w:pPr>
      <w:r>
        <w:t>Jsou-li fólie použity při tisku obrazovky, projděte si praktické informace pro materiály tisku.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spacing w:after="2" w:line="259" w:lineRule="auto"/>
        <w:ind w:right="141"/>
      </w:pPr>
      <w:r>
        <w:rPr>
          <w:b/>
          <w:bCs/>
          <w:sz w:val="18"/>
          <w:szCs w:val="18"/>
        </w:rPr>
        <w:t xml:space="preserve">Společnost ORAFOL </w:t>
      </w:r>
      <w:r>
        <w:rPr>
          <w:sz w:val="18"/>
          <w:szCs w:val="18"/>
        </w:rPr>
        <w:t xml:space="preserve">doporučuje k jedné grafické aplikaci používat pouze materiály se stejným číslem šarže. V tomto kontextu společnost </w:t>
      </w:r>
      <w:r>
        <w:rPr>
          <w:b/>
          <w:bCs/>
          <w:sz w:val="18"/>
          <w:szCs w:val="18"/>
        </w:rPr>
        <w:t>ORAFOL</w:t>
      </w:r>
      <w:r>
        <w:rPr>
          <w:sz w:val="28"/>
          <w:szCs w:val="28"/>
          <w:vertAlign w:val="superscript"/>
        </w:rPr>
        <w:t xml:space="preserve">® </w:t>
      </w:r>
      <w:r>
        <w:rPr>
          <w:sz w:val="18"/>
          <w:szCs w:val="18"/>
        </w:rPr>
        <w:t>zaručuje, že se každá role fólie skládá z materiálů o stejném číslu šarže a nemá následně žádné spoje.</w:t>
      </w:r>
      <w:r>
        <w:rPr>
          <w:rFonts w:ascii="MingLiU_HKSCS" w:eastAsia="MingLiU_HKSCS" w:hAnsi="MingLiU_HKSCS" w:cs="MingLiU_HKSCS"/>
          <w:sz w:val="18"/>
          <w:szCs w:val="18"/>
        </w:rPr>
        <w:t xml:space="preserve"> </w:t>
      </w:r>
      <w:r>
        <w:rPr>
          <w:sz w:val="18"/>
          <w:szCs w:val="18"/>
        </w:rPr>
        <w:t>Jsou-li použity různá čísla šarží, jsou technici povinni provést testy k nalezení možných rozdílů při použití fólií a kvalitě grafické aplikace.</w:t>
      </w:r>
      <w:r>
        <w:rPr>
          <w:rFonts w:ascii="MingLiU_HKSCS" w:eastAsia="MingLiU_HKSCS" w:hAnsi="MingLiU_HKSCS" w:cs="MingLiU_HKSCS"/>
          <w:sz w:val="18"/>
          <w:szCs w:val="18"/>
        </w:rPr>
        <w:t xml:space="preserve"> </w:t>
      </w:r>
    </w:p>
    <w:p w:rsidR="003F5C3C" w:rsidRDefault="003F5C3C">
      <w:pPr>
        <w:spacing w:after="105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11"/>
          <w:szCs w:val="11"/>
        </w:rPr>
        <w:t xml:space="preserve"> </w:t>
      </w:r>
    </w:p>
    <w:p w:rsidR="003F5C3C" w:rsidRDefault="003F5C3C">
      <w:pPr>
        <w:pStyle w:val="Nadpis1"/>
        <w:ind w:left="525" w:hanging="420"/>
      </w:pPr>
      <w:r>
        <w:t xml:space="preserve">Podmínky skladování a zpracování </w:t>
      </w:r>
      <w:r>
        <w:rPr>
          <w:u w:val="none"/>
        </w:rPr>
        <w:t xml:space="preserve"> </w:t>
      </w:r>
    </w:p>
    <w:p w:rsidR="003F5C3C" w:rsidRDefault="003F5C3C">
      <w:pPr>
        <w:tabs>
          <w:tab w:val="center" w:pos="1614"/>
          <w:tab w:val="center" w:pos="2675"/>
          <w:tab w:val="right" w:pos="4527"/>
        </w:tabs>
        <w:spacing w:after="75"/>
        <w:ind w:left="0" w:firstLine="0"/>
        <w:jc w:val="left"/>
      </w:pPr>
      <w:r>
        <w:t xml:space="preserve">Samolepicí </w:t>
      </w:r>
      <w:r>
        <w:tab/>
        <w:t xml:space="preserve">produkty </w:t>
      </w:r>
      <w:r>
        <w:tab/>
        <w:t>ORACAL</w:t>
      </w:r>
      <w:r>
        <w:rPr>
          <w:vertAlign w:val="superscript"/>
        </w:rPr>
        <w:t>®</w:t>
      </w:r>
      <w:r>
        <w:t xml:space="preserve">, </w:t>
      </w:r>
      <w:r>
        <w:tab/>
        <w:t>ORAMASK</w:t>
      </w:r>
      <w:r>
        <w:rPr>
          <w:vertAlign w:val="superscript"/>
        </w:rPr>
        <w:t>®</w:t>
      </w:r>
      <w:r>
        <w:t xml:space="preserve">,  </w:t>
      </w:r>
    </w:p>
    <w:p w:rsidR="003F5C3C" w:rsidRDefault="003F5C3C">
      <w:pPr>
        <w:ind w:left="115" w:right="136"/>
      </w:pPr>
      <w:r>
        <w:t>ORALITE</w:t>
      </w:r>
      <w:r>
        <w:rPr>
          <w:vertAlign w:val="superscript"/>
        </w:rPr>
        <w:t xml:space="preserve">®   </w:t>
      </w:r>
      <w:r>
        <w:t>a ORATAPE</w:t>
      </w:r>
      <w:r>
        <w:rPr>
          <w:vertAlign w:val="superscript"/>
        </w:rPr>
        <w:t xml:space="preserve">® </w:t>
      </w:r>
      <w:r>
        <w:t xml:space="preserve">jsou dodávány v rolích, které by měly být vždy uskladněny buď </w:t>
      </w:r>
      <w:proofErr w:type="gramStart"/>
      <w:r>
        <w:t>položeny nebo</w:t>
      </w:r>
      <w:proofErr w:type="gramEnd"/>
      <w:r>
        <w:t xml:space="preserve"> stojící na podstavcích pro role uložených v chladném, suchém místě chráněném před slunečním světlem. Před zpracováním je nutné samolepicí fólie nechat přizpůsobit vlhkosti a teplotě nacházející se v oblasti zpracování. Za ideální jsou považovány relativní vlhkost mezi 40 a 50 % a teploty v rozsahu +18 °C až +22 °C.  Velké odchylky od výše uvedených podmínek by mohly vést k roztahování nebo smršťování ochranného papíru. Výsledkem by byla nedostatečná plochost samolepicího materiálu a změny rozměrů v řezu.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  <w:r>
        <w:t>Dodržujte pokyny ke skladování uvedené v technickém datovém listu dodaném s každou fólií.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spacing w:after="103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11"/>
          <w:szCs w:val="11"/>
        </w:rPr>
        <w:t xml:space="preserve"> </w:t>
      </w:r>
    </w:p>
    <w:p w:rsidR="003F5C3C" w:rsidRDefault="003F5C3C">
      <w:pPr>
        <w:pStyle w:val="Nadpis1"/>
        <w:ind w:left="525" w:hanging="420"/>
      </w:pPr>
      <w:r>
        <w:t>Příprava povrchu</w:t>
      </w:r>
      <w:r>
        <w:rPr>
          <w:rFonts w:ascii="MingLiU_HKSCS" w:eastAsia="MingLiU_HKSCS" w:hAnsi="MingLiU_HKSCS" w:cs="MingLiU_HKSCS"/>
          <w:b w:val="0"/>
          <w:bCs w:val="0"/>
          <w:u w:val="none"/>
        </w:rPr>
        <w:t xml:space="preserve"> </w:t>
      </w:r>
    </w:p>
    <w:p w:rsidR="003F5C3C" w:rsidRDefault="003F5C3C">
      <w:pPr>
        <w:ind w:left="115" w:right="136"/>
      </w:pPr>
      <w:r>
        <w:t>Vysoce kvalitní speciální lepidla použitá pro samolepicí materiály ORACAL</w:t>
      </w:r>
      <w:r>
        <w:rPr>
          <w:vertAlign w:val="superscript"/>
        </w:rPr>
        <w:t xml:space="preserve">® </w:t>
      </w:r>
      <w:r>
        <w:t>vytváří skvělé spojení s jakýmkoliv čistým, hladkým a vůči okolním podmínkám odolném povrchu, který je zbaven mastnoty, vosku a silikonu.</w:t>
      </w:r>
      <w:r>
        <w:rPr>
          <w:rFonts w:ascii="MingLiU_HKSCS" w:eastAsia="MingLiU_HKSCS" w:hAnsi="MingLiU_HKSCS" w:cs="MingLiU_HKSCS"/>
        </w:rPr>
        <w:t xml:space="preserve"> </w:t>
      </w:r>
      <w:r>
        <w:t>Bezchybné lepení proběhne u vysoce kvalitní barvy stěny (alespoň rozptyl barev v souladu s DIN EN13300 s třídou odolnosti proti drhnutí 3) a zcela suchými barvami.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 w:rsidP="00F8571D">
      <w:pPr>
        <w:spacing w:after="51"/>
        <w:ind w:left="115" w:right="136"/>
      </w:pPr>
      <w:r>
        <w:t>V případě potřeby lze nelakovanou tapetu natřít základovou barvou, nezávisle na tom, zda byla vyrobena na základě papíru, skelných vláken, plastu nebo jiných materiálů.</w:t>
      </w:r>
      <w:r>
        <w:rPr>
          <w:rFonts w:ascii="MingLiU_HKSCS" w:eastAsia="MingLiU_HKSCS" w:hAnsi="MingLiU_HKSCS" w:cs="MingLiU_HKSCS"/>
        </w:rPr>
        <w:t xml:space="preserve"> </w:t>
      </w:r>
      <w:bookmarkStart w:id="0" w:name="_GoBack"/>
      <w:bookmarkEnd w:id="0"/>
    </w:p>
    <w:p w:rsidR="003F5C3C" w:rsidRDefault="003F5C3C">
      <w:pPr>
        <w:ind w:left="115" w:right="136"/>
      </w:pPr>
    </w:p>
    <w:p w:rsidR="003F5C3C" w:rsidRDefault="003F5C3C">
      <w:pPr>
        <w:ind w:left="115" w:right="136"/>
      </w:pPr>
    </w:p>
    <w:p w:rsidR="003F5C3C" w:rsidRDefault="003F5C3C">
      <w:pPr>
        <w:ind w:left="115" w:right="136"/>
      </w:pPr>
      <w:r>
        <w:t>Nevhodné jsou např.: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povrchy s hrubou strukturou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nelakované povrchy nebo povrchy bez základové barvy, (např. beton, cementová zeď, omítka, apod.)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čerstvě lakované povrchy (nevysušené)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oblasti s povrchem odpuzujícím nečistoty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vlhké stěny pokojů (například koupelny, garáže) nebo pouze vlhké zdi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ind w:right="136" w:hanging="341"/>
      </w:pPr>
      <w:r>
        <w:t>špinavé zdi (např. nikotin, tuk)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numPr>
          <w:ilvl w:val="0"/>
          <w:numId w:val="1"/>
        </w:numPr>
        <w:spacing w:after="51"/>
        <w:ind w:right="136" w:hanging="341"/>
      </w:pPr>
      <w:r>
        <w:t>málo lepicí povrchy (např. staré tapety)</w:t>
      </w:r>
      <w:r>
        <w:rPr>
          <w:rFonts w:ascii="MingLiU_HKSCS" w:eastAsia="MingLiU_HKSCS" w:hAnsi="MingLiU_HKSCS" w:cs="MingLiU_HKSCS"/>
        </w:rPr>
        <w:t xml:space="preserve"> </w:t>
      </w:r>
    </w:p>
    <w:p w:rsidR="003F5C3C" w:rsidRDefault="003F5C3C">
      <w:pPr>
        <w:ind w:left="10" w:right="5"/>
      </w:pPr>
      <w:r>
        <w:t>Nechte barvě nebo základnímu nátěru dostatek času k zaschnutí (vezměte v úvahu informace výrobce) a těsně před laminováním povrch očistěte, protože prach a jiné zachycené částice se mohou rychle přilepit k povrchu. Nejlepší výsledky při lepení se dosahují pomocí suché a bezprašné látky z mikrovlákna. Sledujte zvláště oblasti, kde se budou nacházet lomy a hrany grafiky.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</w:p>
    <w:p w:rsidR="003F5C3C" w:rsidRDefault="003F5C3C">
      <w:pPr>
        <w:spacing w:after="77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11"/>
          <w:szCs w:val="11"/>
        </w:rPr>
        <w:t xml:space="preserve"> </w:t>
      </w:r>
    </w:p>
    <w:p w:rsidR="003F5C3C" w:rsidRDefault="003F5C3C">
      <w:pPr>
        <w:pStyle w:val="Nadpis1"/>
        <w:ind w:left="420" w:hanging="420"/>
      </w:pPr>
      <w:r>
        <w:t>Aplikace</w:t>
      </w:r>
      <w:r>
        <w:rPr>
          <w:rFonts w:ascii="MingLiU_HKSCS" w:eastAsia="MingLiU_HKSCS" w:hAnsi="MingLiU_HKSCS" w:cs="MingLiU_HKSCS"/>
          <w:b w:val="0"/>
          <w:bCs w:val="0"/>
          <w:u w:val="none"/>
        </w:rPr>
        <w:t xml:space="preserve"> </w:t>
      </w:r>
    </w:p>
    <w:p w:rsidR="003F5C3C" w:rsidRDefault="003F5C3C">
      <w:pPr>
        <w:ind w:left="10"/>
      </w:pPr>
      <w:r>
        <w:t>Fólie se aplikuje v suchém stavu. Další tipy naleznete v praktických informacích uvedených výše.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</w:p>
    <w:p w:rsidR="003F5C3C" w:rsidRDefault="003F5C3C">
      <w:pPr>
        <w:spacing w:after="104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11"/>
          <w:szCs w:val="11"/>
        </w:rPr>
        <w:t xml:space="preserve"> </w:t>
      </w:r>
    </w:p>
    <w:p w:rsidR="003F5C3C" w:rsidRDefault="003F5C3C">
      <w:pPr>
        <w:pStyle w:val="Nadpis1"/>
        <w:ind w:left="420" w:hanging="420"/>
      </w:pPr>
      <w:r>
        <w:t>Odstranění</w:t>
      </w:r>
      <w:r>
        <w:rPr>
          <w:rFonts w:ascii="MingLiU_HKSCS" w:eastAsia="MingLiU_HKSCS" w:hAnsi="MingLiU_HKSCS" w:cs="MingLiU_HKSCS"/>
          <w:b w:val="0"/>
          <w:bCs w:val="0"/>
          <w:u w:val="none"/>
        </w:rPr>
        <w:t xml:space="preserve"> </w:t>
      </w:r>
    </w:p>
    <w:p w:rsidR="003F5C3C" w:rsidRDefault="003F5C3C">
      <w:pPr>
        <w:ind w:left="10" w:right="3"/>
      </w:pPr>
      <w:r>
        <w:t>Před odstraněním těchto fólií musí činit teplota okolí a povrchu alespoň +20 °C. Pomocí nože nejprve opatrně nadzvedněte jeden roh fólie. Poté pomalu stahujte fólii z povrchu pod úhlem 180°.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  <w:r>
        <w:t>Zahříváním fólie pomocí tepelné pistole během tažení významně usnadňuje její odstranění. Je-li odstraňovaná fólie velmi stará, může na povrchu zůstat malé množství zbytkového lepidla. Lze jej snadno odstranit pomocí ředidla na barvy.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</w:p>
    <w:p w:rsidR="003F5C3C" w:rsidRDefault="003F5C3C">
      <w:pPr>
        <w:spacing w:after="0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20"/>
          <w:szCs w:val="20"/>
        </w:rPr>
        <w:t xml:space="preserve"> </w:t>
      </w:r>
    </w:p>
    <w:p w:rsidR="003F5C3C" w:rsidRDefault="003F5C3C">
      <w:pPr>
        <w:spacing w:after="0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20"/>
          <w:szCs w:val="20"/>
        </w:rPr>
        <w:t xml:space="preserve"> </w:t>
      </w:r>
    </w:p>
    <w:p w:rsidR="003F5C3C" w:rsidRDefault="003F5C3C">
      <w:pPr>
        <w:spacing w:after="2" w:line="259" w:lineRule="auto"/>
        <w:ind w:left="-5"/>
      </w:pPr>
      <w:r>
        <w:rPr>
          <w:sz w:val="18"/>
          <w:szCs w:val="18"/>
        </w:rPr>
        <w:t>Tyto informace jsou založeny na našich znalostech a zkušenostech. Nebudeme vysvětlovat všechny příslušné prvky aplikace. Předpokládají se specializované nebo profesionální znalosti a schopnosti profesionálního technika. Vlivem rozdílnosti faktorů případných vlivů během aplikace a použití doporučujeme provést vlastní testy našich produktů zákazníky, kteří si přejí používat fólie pro zvláštní aplikace. Z těchto našich informací nelze vyvozovat žádné právně závazné záruky nebo určité kvality</w:t>
      </w:r>
      <w:r>
        <w:rPr>
          <w:sz w:val="16"/>
          <w:szCs w:val="16"/>
        </w:rPr>
        <w:t>.</w:t>
      </w:r>
      <w:r>
        <w:rPr>
          <w:rFonts w:ascii="MingLiU_HKSCS" w:eastAsia="MingLiU_HKSCS" w:hAnsi="MingLiU_HKSCS" w:cs="MingLiU_HKSCS"/>
          <w:sz w:val="22"/>
          <w:szCs w:val="22"/>
        </w:rPr>
        <w:t xml:space="preserve"> </w:t>
      </w:r>
    </w:p>
    <w:p w:rsidR="003F5C3C" w:rsidRDefault="003F5C3C">
      <w:pPr>
        <w:spacing w:after="42" w:line="259" w:lineRule="auto"/>
        <w:ind w:left="0" w:firstLine="0"/>
        <w:jc w:val="left"/>
      </w:pPr>
      <w:r>
        <w:rPr>
          <w:rFonts w:ascii="MingLiU_HKSCS" w:eastAsia="MingLiU_HKSCS" w:hAnsi="MingLiU_HKSCS" w:cs="MingLiU_HKSCS"/>
          <w:sz w:val="11"/>
          <w:szCs w:val="11"/>
        </w:rPr>
        <w:t xml:space="preserve"> </w:t>
      </w:r>
    </w:p>
    <w:p w:rsidR="003F5C3C" w:rsidRPr="00843148" w:rsidRDefault="003F5C3C">
      <w:pPr>
        <w:spacing w:after="0" w:line="259" w:lineRule="auto"/>
        <w:ind w:left="0" w:firstLine="0"/>
        <w:jc w:val="left"/>
        <w:rPr>
          <w:sz w:val="18"/>
          <w:szCs w:val="18"/>
        </w:rPr>
      </w:pPr>
      <w:r w:rsidRPr="00843148">
        <w:rPr>
          <w:rFonts w:eastAsia="MingLiU_HKSCS"/>
          <w:sz w:val="18"/>
          <w:szCs w:val="18"/>
        </w:rPr>
        <w:t xml:space="preserve">Výrobce: </w:t>
      </w:r>
    </w:p>
    <w:p w:rsidR="003F5C3C" w:rsidRPr="00843148" w:rsidRDefault="003F5C3C">
      <w:pPr>
        <w:ind w:left="10" w:right="1457"/>
        <w:rPr>
          <w:rFonts w:eastAsia="MingLiU_HKSCS"/>
          <w:sz w:val="18"/>
          <w:szCs w:val="18"/>
        </w:rPr>
      </w:pPr>
      <w:proofErr w:type="spellStart"/>
      <w:r w:rsidRPr="00843148">
        <w:rPr>
          <w:sz w:val="18"/>
          <w:szCs w:val="18"/>
        </w:rPr>
        <w:t>Orafol</w:t>
      </w:r>
      <w:proofErr w:type="spellEnd"/>
      <w:r w:rsidRPr="00843148">
        <w:rPr>
          <w:sz w:val="18"/>
          <w:szCs w:val="18"/>
        </w:rPr>
        <w:t>, Oranienburg, 12. října 2010</w:t>
      </w:r>
      <w:r w:rsidRPr="00843148">
        <w:rPr>
          <w:rFonts w:eastAsia="MingLiU_HKSCS"/>
          <w:sz w:val="18"/>
          <w:szCs w:val="18"/>
        </w:rPr>
        <w:t xml:space="preserve"> </w:t>
      </w:r>
    </w:p>
    <w:p w:rsidR="003F5C3C" w:rsidRPr="00843148" w:rsidRDefault="003F5C3C">
      <w:pPr>
        <w:ind w:left="10" w:right="1457"/>
        <w:rPr>
          <w:rFonts w:eastAsia="MingLiU_HKSCS"/>
          <w:sz w:val="18"/>
          <w:szCs w:val="18"/>
        </w:rPr>
      </w:pPr>
      <w:r w:rsidRPr="00843148">
        <w:rPr>
          <w:rFonts w:eastAsia="MingLiU_HKSCS"/>
          <w:sz w:val="18"/>
          <w:szCs w:val="18"/>
        </w:rPr>
        <w:t>www.orafol.com</w:t>
      </w:r>
    </w:p>
    <w:p w:rsidR="003F5C3C" w:rsidRDefault="003F5C3C">
      <w:pPr>
        <w:spacing w:after="0" w:line="239" w:lineRule="auto"/>
        <w:ind w:left="0" w:right="456" w:firstLine="0"/>
        <w:jc w:val="left"/>
        <w:rPr>
          <w:sz w:val="18"/>
          <w:szCs w:val="18"/>
        </w:rPr>
      </w:pPr>
    </w:p>
    <w:p w:rsidR="003F5C3C" w:rsidRPr="00843148" w:rsidRDefault="003F5C3C">
      <w:pPr>
        <w:spacing w:after="0" w:line="239" w:lineRule="auto"/>
        <w:ind w:left="0" w:right="456" w:firstLine="0"/>
        <w:jc w:val="left"/>
        <w:rPr>
          <w:sz w:val="18"/>
          <w:szCs w:val="18"/>
        </w:rPr>
      </w:pPr>
      <w:proofErr w:type="spellStart"/>
      <w:r w:rsidRPr="00843148">
        <w:rPr>
          <w:sz w:val="18"/>
          <w:szCs w:val="18"/>
        </w:rPr>
        <w:t>REFO,</w:t>
      </w:r>
      <w:proofErr w:type="gramStart"/>
      <w:r w:rsidRPr="00843148">
        <w:rPr>
          <w:sz w:val="18"/>
          <w:szCs w:val="18"/>
        </w:rPr>
        <w:t>spol.s</w:t>
      </w:r>
      <w:proofErr w:type="spellEnd"/>
      <w:r w:rsidRPr="00843148">
        <w:rPr>
          <w:sz w:val="18"/>
          <w:szCs w:val="18"/>
        </w:rPr>
        <w:t xml:space="preserve"> </w:t>
      </w:r>
      <w:proofErr w:type="spellStart"/>
      <w:r w:rsidRPr="00843148">
        <w:rPr>
          <w:sz w:val="18"/>
          <w:szCs w:val="18"/>
        </w:rPr>
        <w:t>r.</w:t>
      </w:r>
      <w:proofErr w:type="gramEnd"/>
      <w:r w:rsidRPr="00843148">
        <w:rPr>
          <w:sz w:val="18"/>
          <w:szCs w:val="18"/>
        </w:rPr>
        <w:t>o.,Lipenská</w:t>
      </w:r>
      <w:proofErr w:type="spellEnd"/>
      <w:r w:rsidRPr="00843148">
        <w:rPr>
          <w:sz w:val="18"/>
          <w:szCs w:val="18"/>
        </w:rPr>
        <w:t xml:space="preserve"> 8 , 37001 </w:t>
      </w:r>
      <w:proofErr w:type="spellStart"/>
      <w:r w:rsidRPr="00843148">
        <w:rPr>
          <w:sz w:val="18"/>
          <w:szCs w:val="18"/>
        </w:rPr>
        <w:t>Č.Budějovice</w:t>
      </w:r>
      <w:proofErr w:type="spellEnd"/>
    </w:p>
    <w:p w:rsidR="003F5C3C" w:rsidRPr="00843148" w:rsidRDefault="003F5C3C">
      <w:pPr>
        <w:spacing w:after="0" w:line="259" w:lineRule="auto"/>
        <w:ind w:left="-51" w:right="-132" w:firstLine="0"/>
        <w:jc w:val="left"/>
        <w:rPr>
          <w:color w:val="auto"/>
          <w:sz w:val="18"/>
          <w:szCs w:val="18"/>
        </w:rPr>
      </w:pPr>
      <w:r w:rsidRPr="00843148">
        <w:rPr>
          <w:sz w:val="18"/>
          <w:szCs w:val="18"/>
        </w:rPr>
        <w:t xml:space="preserve"> </w:t>
      </w:r>
      <w:hyperlink r:id="rId6" w:history="1">
        <w:proofErr w:type="gramStart"/>
        <w:r w:rsidRPr="00843148">
          <w:rPr>
            <w:rStyle w:val="Hypertextovodkaz"/>
            <w:color w:val="auto"/>
            <w:sz w:val="18"/>
            <w:szCs w:val="18"/>
            <w:u w:val="none"/>
          </w:rPr>
          <w:t>Tel :387</w:t>
        </w:r>
      </w:hyperlink>
      <w:r w:rsidRPr="00843148">
        <w:rPr>
          <w:color w:val="auto"/>
          <w:sz w:val="18"/>
          <w:szCs w:val="18"/>
        </w:rPr>
        <w:t xml:space="preserve"> 222 086</w:t>
      </w:r>
      <w:proofErr w:type="gramEnd"/>
      <w:r w:rsidRPr="00843148">
        <w:rPr>
          <w:color w:val="auto"/>
          <w:sz w:val="18"/>
          <w:szCs w:val="18"/>
        </w:rPr>
        <w:t xml:space="preserve"> -807</w:t>
      </w:r>
    </w:p>
    <w:p w:rsidR="003F5C3C" w:rsidRPr="00843148" w:rsidRDefault="003F5C3C">
      <w:pPr>
        <w:spacing w:after="0" w:line="259" w:lineRule="auto"/>
        <w:ind w:left="-51" w:right="-132" w:firstLine="0"/>
        <w:jc w:val="left"/>
        <w:rPr>
          <w:sz w:val="18"/>
          <w:szCs w:val="18"/>
        </w:rPr>
      </w:pPr>
      <w:r w:rsidRPr="00843148">
        <w:rPr>
          <w:sz w:val="18"/>
          <w:szCs w:val="18"/>
        </w:rPr>
        <w:t xml:space="preserve"> http://material.refo.cz</w:t>
      </w:r>
    </w:p>
    <w:p w:rsidR="003F5C3C" w:rsidRDefault="003F5C3C">
      <w:pPr>
        <w:spacing w:after="0" w:line="259" w:lineRule="auto"/>
        <w:ind w:left="-51" w:right="-132" w:firstLine="0"/>
        <w:jc w:val="left"/>
      </w:pPr>
    </w:p>
    <w:sectPr w:rsidR="003F5C3C" w:rsidSect="00444A14">
      <w:type w:val="continuous"/>
      <w:pgSz w:w="11899" w:h="16841"/>
      <w:pgMar w:top="1440" w:right="1328" w:bottom="1440" w:left="1260" w:header="708" w:footer="708" w:gutter="0"/>
      <w:cols w:num="2" w:space="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E7E"/>
    <w:multiLevelType w:val="hybridMultilevel"/>
    <w:tmpl w:val="8AA684A0"/>
    <w:lvl w:ilvl="0" w:tplc="7D08062A">
      <w:start w:val="1"/>
      <w:numFmt w:val="bullet"/>
      <w:lvlText w:val="•"/>
      <w:lvlJc w:val="left"/>
      <w:pPr>
        <w:ind w:left="446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1" w:tplc="B340402E">
      <w:start w:val="1"/>
      <w:numFmt w:val="bullet"/>
      <w:lvlText w:val="o"/>
      <w:lvlJc w:val="left"/>
      <w:pPr>
        <w:ind w:left="114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2" w:tplc="78D889C2">
      <w:start w:val="1"/>
      <w:numFmt w:val="bullet"/>
      <w:lvlText w:val="▪"/>
      <w:lvlJc w:val="left"/>
      <w:pPr>
        <w:ind w:left="186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3" w:tplc="53D0B784">
      <w:start w:val="1"/>
      <w:numFmt w:val="bullet"/>
      <w:lvlText w:val="•"/>
      <w:lvlJc w:val="left"/>
      <w:pPr>
        <w:ind w:left="258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4" w:tplc="B1827528">
      <w:start w:val="1"/>
      <w:numFmt w:val="bullet"/>
      <w:lvlText w:val="o"/>
      <w:lvlJc w:val="left"/>
      <w:pPr>
        <w:ind w:left="330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5" w:tplc="DDB86434">
      <w:start w:val="1"/>
      <w:numFmt w:val="bullet"/>
      <w:lvlText w:val="▪"/>
      <w:lvlJc w:val="left"/>
      <w:pPr>
        <w:ind w:left="402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6" w:tplc="A5F41A7C">
      <w:start w:val="1"/>
      <w:numFmt w:val="bullet"/>
      <w:lvlText w:val="•"/>
      <w:lvlJc w:val="left"/>
      <w:pPr>
        <w:ind w:left="474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7" w:tplc="825A2C2E">
      <w:start w:val="1"/>
      <w:numFmt w:val="bullet"/>
      <w:lvlText w:val="o"/>
      <w:lvlJc w:val="left"/>
      <w:pPr>
        <w:ind w:left="546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  <w:lvl w:ilvl="8" w:tplc="68EE0010">
      <w:start w:val="1"/>
      <w:numFmt w:val="bullet"/>
      <w:lvlText w:val="▪"/>
      <w:lvlJc w:val="left"/>
      <w:pPr>
        <w:ind w:left="6189"/>
      </w:pPr>
      <w:rPr>
        <w:rFonts w:ascii="Calibri" w:eastAsia="Times New Roman" w:hAnsi="Calibri"/>
        <w:b w:val="0"/>
        <w:bCs w:val="0"/>
        <w:i w:val="0"/>
        <w:iCs w:val="0"/>
        <w:strike w:val="0"/>
        <w:dstrike w:val="0"/>
        <w:color w:val="000000"/>
        <w:sz w:val="17"/>
        <w:szCs w:val="17"/>
        <w:u w:val="none" w:color="000000"/>
        <w:vertAlign w:val="baseline"/>
      </w:rPr>
    </w:lvl>
  </w:abstractNum>
  <w:abstractNum w:abstractNumId="1" w15:restartNumberingAfterBreak="0">
    <w:nsid w:val="55EC090A"/>
    <w:multiLevelType w:val="hybridMultilevel"/>
    <w:tmpl w:val="E0886530"/>
    <w:lvl w:ilvl="0" w:tplc="4262F694">
      <w:start w:val="1"/>
      <w:numFmt w:val="decimal"/>
      <w:pStyle w:val="Nadpis1"/>
      <w:lvlText w:val="%1"/>
      <w:lvlJc w:val="left"/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C6B09A">
      <w:start w:val="1"/>
      <w:numFmt w:val="lowerLetter"/>
      <w:lvlText w:val="%2"/>
      <w:lvlJc w:val="left"/>
      <w:pPr>
        <w:ind w:left="115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9A24EDE6">
      <w:start w:val="1"/>
      <w:numFmt w:val="lowerRoman"/>
      <w:lvlText w:val="%3"/>
      <w:lvlJc w:val="left"/>
      <w:pPr>
        <w:ind w:left="187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3F121EA6">
      <w:start w:val="1"/>
      <w:numFmt w:val="decimal"/>
      <w:lvlText w:val="%4"/>
      <w:lvlJc w:val="left"/>
      <w:pPr>
        <w:ind w:left="259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2AD8F2CA">
      <w:start w:val="1"/>
      <w:numFmt w:val="lowerLetter"/>
      <w:lvlText w:val="%5"/>
      <w:lvlJc w:val="left"/>
      <w:pPr>
        <w:ind w:left="331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EE8E658C">
      <w:start w:val="1"/>
      <w:numFmt w:val="lowerRoman"/>
      <w:lvlText w:val="%6"/>
      <w:lvlJc w:val="left"/>
      <w:pPr>
        <w:ind w:left="403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48A8BCC8">
      <w:start w:val="1"/>
      <w:numFmt w:val="decimal"/>
      <w:lvlText w:val="%7"/>
      <w:lvlJc w:val="left"/>
      <w:pPr>
        <w:ind w:left="475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72A7D24">
      <w:start w:val="1"/>
      <w:numFmt w:val="lowerLetter"/>
      <w:lvlText w:val="%8"/>
      <w:lvlJc w:val="left"/>
      <w:pPr>
        <w:ind w:left="547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2FEA693C">
      <w:start w:val="1"/>
      <w:numFmt w:val="lowerRoman"/>
      <w:lvlText w:val="%9"/>
      <w:lvlJc w:val="left"/>
      <w:pPr>
        <w:ind w:left="6192"/>
      </w:pPr>
      <w:rPr>
        <w:rFonts w:ascii="Arial" w:eastAsia="Times New Roman" w:hAnsi="Arial"/>
        <w:b/>
        <w:bCs/>
        <w:i w:val="0"/>
        <w:iCs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FB6"/>
    <w:rsid w:val="00194C3B"/>
    <w:rsid w:val="003F5C3C"/>
    <w:rsid w:val="003F5E8E"/>
    <w:rsid w:val="00425263"/>
    <w:rsid w:val="00444A14"/>
    <w:rsid w:val="007B6411"/>
    <w:rsid w:val="00843148"/>
    <w:rsid w:val="00883922"/>
    <w:rsid w:val="00974FB6"/>
    <w:rsid w:val="00C3278D"/>
    <w:rsid w:val="00F35A8A"/>
    <w:rsid w:val="00F8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5:docId w15:val="{C2C51512-EF05-4044-B98F-067DABEE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444A14"/>
    <w:pPr>
      <w:spacing w:after="5" w:line="253" w:lineRule="auto"/>
      <w:ind w:left="130" w:hanging="10"/>
      <w:jc w:val="both"/>
    </w:pPr>
    <w:rPr>
      <w:rFonts w:ascii="Arial" w:hAnsi="Arial" w:cs="Arial"/>
      <w:color w:val="000000"/>
      <w:sz w:val="17"/>
      <w:szCs w:val="17"/>
    </w:rPr>
  </w:style>
  <w:style w:type="paragraph" w:styleId="Nadpis1">
    <w:name w:val="heading 1"/>
    <w:basedOn w:val="Normln"/>
    <w:next w:val="Normln"/>
    <w:link w:val="Nadpis1Char"/>
    <w:uiPriority w:val="99"/>
    <w:qFormat/>
    <w:rsid w:val="00444A14"/>
    <w:pPr>
      <w:keepNext/>
      <w:keepLines/>
      <w:numPr>
        <w:numId w:val="2"/>
      </w:numPr>
      <w:spacing w:after="0" w:line="259" w:lineRule="auto"/>
      <w:jc w:val="left"/>
      <w:outlineLvl w:val="0"/>
    </w:pPr>
    <w:rPr>
      <w:b/>
      <w:bCs/>
      <w:sz w:val="21"/>
      <w:szCs w:val="21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444A14"/>
    <w:rPr>
      <w:rFonts w:ascii="Arial" w:hAnsi="Arial" w:cs="Arial"/>
      <w:b/>
      <w:bCs/>
      <w:color w:val="000000"/>
      <w:sz w:val="22"/>
      <w:szCs w:val="22"/>
      <w:u w:val="single" w:color="000000"/>
    </w:rPr>
  </w:style>
  <w:style w:type="character" w:styleId="Hypertextovodkaz">
    <w:name w:val="Hyperlink"/>
    <w:uiPriority w:val="99"/>
    <w:rsid w:val="00843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38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FLEXI-TRANS</dc:creator>
  <cp:keywords/>
  <dc:description/>
  <cp:lastModifiedBy>Oem</cp:lastModifiedBy>
  <cp:revision>5</cp:revision>
  <dcterms:created xsi:type="dcterms:W3CDTF">2016-05-02T07:37:00Z</dcterms:created>
  <dcterms:modified xsi:type="dcterms:W3CDTF">2016-05-02T07:42:00Z</dcterms:modified>
</cp:coreProperties>
</file>